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新疆财政支出绩效自评报告编制要求</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英吉沙县环境保护局(本级)的本部门中，行政单位 1 家，参公管理事业单位1家,事业单位1 家</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英吉沙县环境保护局(本级)编制数12人，实有人数16人，其中：在职12人，退休4人。</w:t>
      </w:r>
      <w:r>
        <w:rPr>
          <w:rFonts w:hint="eastAsia" w:ascii="仿宋" w:hAnsi="仿宋" w:eastAsia="仿宋"/>
          <w:bCs/>
          <w:color w:val="auto"/>
          <w:spacing w:val="-4"/>
          <w:sz w:val="32"/>
          <w:szCs w:val="32"/>
          <w:lang w:val="en-US" w:eastAsia="zh-CN"/>
        </w:rPr>
        <w:t>主要</w:t>
      </w:r>
      <w:r>
        <w:rPr>
          <w:rFonts w:hint="eastAsia" w:ascii="仿宋" w:hAnsi="仿宋" w:eastAsia="仿宋"/>
          <w:bCs/>
          <w:color w:val="auto"/>
          <w:spacing w:val="-4"/>
          <w:sz w:val="32"/>
          <w:szCs w:val="32"/>
        </w:rPr>
        <w:t>落实国家环境保护基本制度</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负责重大环境问题的统筹协调和监督管理</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组织协调重大环境污染事故和生态破坏事件的调查处理</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协调解决有关跨区域环境污染纠纷，统筹协调英吉沙县流域、区域污染防治工作</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承担落实英吉沙县减排目标的责任</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承担从源头上预防、控制环境污染和环境破坏的责任。</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lang w:val="en-US" w:eastAsia="zh-CN"/>
        </w:rPr>
        <w:t>英吉沙</w:t>
      </w:r>
      <w:r>
        <w:rPr>
          <w:rFonts w:hint="eastAsia" w:ascii="仿宋" w:hAnsi="仿宋" w:eastAsia="仿宋"/>
          <w:bCs/>
          <w:color w:val="auto"/>
          <w:spacing w:val="-4"/>
          <w:sz w:val="32"/>
          <w:szCs w:val="32"/>
        </w:rPr>
        <w:t>县位于新疆维吾尔自治区西南部，处于塔里木河、库山河的上游，东为两河冲积扇和克孜河冲积平原。山区、平原面积约占全县总面积的54%和46%。县域生态环境质量状况直接影响着英吉沙县打造生态文明村和农村环境连片整治工作。根据自治区要求2013年被列入《国家重点生态功能区县域名单》进行生态环境质量考核。开展此项考核，是检验自治区重点生态功能区县域生态环境质量动态变化的一项重要工作，考核结果关乎今后中央、自治区对我县生态补偿转移支付资金的正常拨付和奖励。</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w:t>
      </w:r>
      <w:r>
        <w:rPr>
          <w:rFonts w:hint="eastAsia" w:ascii="仿宋" w:hAnsi="仿宋" w:eastAsia="仿宋"/>
          <w:bCs/>
          <w:color w:val="auto"/>
          <w:spacing w:val="-4"/>
          <w:sz w:val="32"/>
          <w:szCs w:val="32"/>
          <w:lang w:val="en-US" w:eastAsia="zh-CN"/>
        </w:rPr>
        <w:t>延续</w:t>
      </w:r>
      <w:r>
        <w:rPr>
          <w:rFonts w:hint="eastAsia" w:ascii="仿宋" w:hAnsi="仿宋" w:eastAsia="仿宋"/>
          <w:bCs/>
          <w:color w:val="auto"/>
          <w:spacing w:val="-4"/>
          <w:sz w:val="32"/>
          <w:szCs w:val="32"/>
        </w:rPr>
        <w:t>项目</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通过对</w:t>
      </w:r>
      <w:r>
        <w:rPr>
          <w:rFonts w:hint="eastAsia" w:ascii="仿宋" w:hAnsi="仿宋" w:eastAsia="仿宋"/>
          <w:bCs/>
          <w:color w:val="auto"/>
          <w:spacing w:val="-4"/>
          <w:sz w:val="32"/>
          <w:szCs w:val="32"/>
        </w:rPr>
        <w:t>国家重点生态功能区县域生态环境监测包括</w:t>
      </w:r>
      <w:r>
        <w:rPr>
          <w:rFonts w:hint="eastAsia" w:ascii="仿宋" w:hAnsi="仿宋" w:eastAsia="仿宋"/>
          <w:bCs/>
          <w:color w:val="auto"/>
          <w:spacing w:val="-4"/>
          <w:sz w:val="32"/>
          <w:szCs w:val="32"/>
          <w:lang w:val="en-US" w:eastAsia="zh-CN"/>
        </w:rPr>
        <w:t>的</w:t>
      </w:r>
      <w:r>
        <w:rPr>
          <w:rFonts w:hint="eastAsia" w:ascii="仿宋" w:hAnsi="仿宋" w:eastAsia="仿宋"/>
          <w:bCs/>
          <w:color w:val="auto"/>
          <w:spacing w:val="-4"/>
          <w:sz w:val="32"/>
          <w:szCs w:val="32"/>
        </w:rPr>
        <w:t>地表水水质、集中式饮用水水源地水质、环境空气质量及污染源</w:t>
      </w:r>
      <w:r>
        <w:rPr>
          <w:rFonts w:hint="eastAsia" w:ascii="仿宋" w:hAnsi="仿宋" w:eastAsia="仿宋"/>
          <w:bCs/>
          <w:color w:val="auto"/>
          <w:spacing w:val="-4"/>
          <w:sz w:val="32"/>
          <w:szCs w:val="32"/>
          <w:lang w:val="en-US" w:eastAsia="zh-CN"/>
        </w:rPr>
        <w:t>开展</w:t>
      </w:r>
      <w:r>
        <w:rPr>
          <w:rFonts w:hint="eastAsia" w:ascii="仿宋" w:hAnsi="仿宋" w:eastAsia="仿宋"/>
          <w:bCs/>
          <w:color w:val="auto"/>
          <w:spacing w:val="-4"/>
          <w:sz w:val="32"/>
          <w:szCs w:val="32"/>
        </w:rPr>
        <w:t>监测，</w:t>
      </w:r>
      <w:r>
        <w:rPr>
          <w:rFonts w:hint="eastAsia" w:ascii="仿宋" w:hAnsi="仿宋" w:eastAsia="仿宋"/>
          <w:bCs/>
          <w:color w:val="auto"/>
          <w:spacing w:val="-4"/>
          <w:sz w:val="32"/>
          <w:szCs w:val="32"/>
          <w:lang w:val="en-US" w:eastAsia="zh-CN"/>
        </w:rPr>
        <w:t>全面及时掌握我县水、大气、土壤环境质量。</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rPr>
        <w:t>预计需要资金</w:t>
      </w:r>
      <w:r>
        <w:rPr>
          <w:rFonts w:hint="eastAsia" w:ascii="仿宋" w:hAnsi="仿宋" w:eastAsia="仿宋"/>
          <w:bCs/>
          <w:color w:val="000000" w:themeColor="text1"/>
          <w:spacing w:val="-4"/>
          <w:sz w:val="32"/>
          <w:szCs w:val="32"/>
          <w:lang w:val="en-US" w:eastAsia="zh-CN"/>
        </w:rPr>
        <w:t>66.9</w:t>
      </w:r>
      <w:r>
        <w:rPr>
          <w:rFonts w:hint="eastAsia" w:ascii="仿宋" w:hAnsi="仿宋" w:eastAsia="仿宋"/>
          <w:bCs/>
          <w:color w:val="000000" w:themeColor="text1"/>
          <w:spacing w:val="-4"/>
          <w:sz w:val="32"/>
          <w:szCs w:val="32"/>
        </w:rPr>
        <w:t>万元，计划从县环保局环保事务管理资金（返还排污费）中进行支出</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选取艾古斯乡毛阿里林场、沙曼水文站和依格孜牙河、萨罕水库、阿克尔水库、青年水库、栏杆水库、康赛水库等6座水库，共9个点位，采用《地表水环境质量标准》（GB3838-2002）表1中除粪大肠菌群以外的23项指标。选取东风农场自来水厂、艾古斯乡北九乡水厂、依格孜牙南四乡水厂共3个点位，按照《地表水环境质量标准》（GB3838-2002）表1中除化学需氧量以外的23项指标、表2的补充指标（5项）和表3的优选特定指标（33项），共61项进行监测；全分析指标包括《地表水环境质量标准》（GB 3838-2002）中的109项。地下水饮用水水源地常规监测指标包括《地下水质量标准》（GB/T14848-1993）中的23项；全分析指标包括《地下水质量标准》（GB/T14848-1993）中的39项。选取县委宾馆楼顶、县环保局楼顶，对可吸入颗粒物（PM10）、细颗粒物（PM2.5）、二氧化硫（SO2）、二氧化氮（NO2）、一氧化碳（CO）和臭氧（O3）等6项指标进行监测。其中，手工监测只监测PM10、SO2和NO2等3项指标。选取英吉沙县新能热力公司（废气）、新疆诚祥砖制品有限公司（废气）、喀什鲁源环保建材有限公司（废气）、英吉沙县渝新空心砖厂（废气）、英吉沙创通空心砖厂（废气）、英吉沙山水水泥有限公司（废气）、英吉沙县供排水公司（氧化塘）（污水处理厂）、英吉沙垃圾填埋厂（废水），共8个点位，按照规范开展监测。上述监测频率均按照每季度1次开展。</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9"/>
          <w:rFonts w:hint="eastAsia" w:ascii="仿宋" w:hAnsi="仿宋" w:eastAsia="仿宋"/>
          <w:b w:val="0"/>
          <w:color w:val="auto"/>
          <w:spacing w:val="-4"/>
          <w:sz w:val="32"/>
          <w:szCs w:val="32"/>
          <w:lang w:eastAsia="zh-CN"/>
        </w:rPr>
      </w:pPr>
      <w:r>
        <w:rPr>
          <w:rStyle w:val="19"/>
          <w:rFonts w:hint="eastAsia" w:ascii="仿宋" w:hAnsi="仿宋" w:eastAsia="仿宋"/>
          <w:b w:val="0"/>
          <w:color w:val="auto"/>
          <w:spacing w:val="-4"/>
          <w:sz w:val="32"/>
          <w:szCs w:val="32"/>
          <w:lang w:val="en-US" w:eastAsia="zh-CN"/>
        </w:rPr>
        <w:t>本</w:t>
      </w:r>
      <w:r>
        <w:rPr>
          <w:rStyle w:val="19"/>
          <w:rFonts w:hint="eastAsia" w:ascii="仿宋" w:hAnsi="仿宋" w:eastAsia="仿宋"/>
          <w:b w:val="0"/>
          <w:color w:val="auto"/>
          <w:spacing w:val="-4"/>
          <w:sz w:val="32"/>
          <w:szCs w:val="32"/>
        </w:rPr>
        <w:t>项目</w:t>
      </w:r>
      <w:r>
        <w:rPr>
          <w:rFonts w:hint="eastAsia" w:ascii="仿宋" w:hAnsi="仿宋" w:eastAsia="仿宋"/>
          <w:bCs/>
          <w:color w:val="auto"/>
          <w:spacing w:val="-4"/>
          <w:sz w:val="32"/>
          <w:szCs w:val="32"/>
          <w:lang w:val="en-US" w:eastAsia="zh-CN"/>
        </w:rPr>
        <w:t>项目支出符合相关财务管理制度，</w:t>
      </w:r>
      <w:r>
        <w:rPr>
          <w:rFonts w:hint="eastAsia" w:ascii="仿宋" w:hAnsi="仿宋" w:eastAsia="仿宋"/>
          <w:bCs/>
          <w:color w:val="auto"/>
          <w:spacing w:val="-4"/>
          <w:sz w:val="32"/>
          <w:szCs w:val="32"/>
        </w:rPr>
        <w:t>包括财务收支审批</w:t>
      </w:r>
      <w:r>
        <w:rPr>
          <w:rFonts w:hint="eastAsia" w:ascii="仿宋" w:hAnsi="仿宋" w:eastAsia="仿宋"/>
          <w:bCs/>
          <w:color w:val="auto"/>
          <w:spacing w:val="-4"/>
          <w:sz w:val="32"/>
          <w:szCs w:val="32"/>
          <w:lang w:val="en-US" w:eastAsia="zh-CN"/>
        </w:rPr>
        <w:t>等</w:t>
      </w:r>
      <w:r>
        <w:rPr>
          <w:rFonts w:hint="eastAsia" w:ascii="仿宋" w:hAnsi="仿宋" w:eastAsia="仿宋"/>
          <w:bCs/>
          <w:color w:val="auto"/>
          <w:spacing w:val="-4"/>
          <w:sz w:val="32"/>
          <w:szCs w:val="32"/>
        </w:rPr>
        <w:t>制度</w:t>
      </w:r>
      <w:r>
        <w:rPr>
          <w:rFonts w:hint="eastAsia" w:ascii="仿宋" w:hAnsi="仿宋" w:eastAsia="仿宋"/>
          <w:bCs/>
          <w:color w:val="auto"/>
          <w:spacing w:val="-4"/>
          <w:sz w:val="32"/>
          <w:szCs w:val="32"/>
          <w:lang w:val="en-US" w:eastAsia="zh-CN"/>
        </w:rPr>
        <w:t>以及</w:t>
      </w:r>
      <w:r>
        <w:rPr>
          <w:rFonts w:hint="eastAsia" w:ascii="仿宋" w:hAnsi="仿宋" w:eastAsia="仿宋"/>
          <w:bCs/>
          <w:color w:val="auto"/>
          <w:spacing w:val="-4"/>
          <w:sz w:val="32"/>
          <w:szCs w:val="32"/>
        </w:rPr>
        <w:t>相应的项目资金管理办法</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项目资金管理办法符合国家财经法规和财务管理制度以及有关资金管理办法的规定</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资金的拨付有完整的审批程序和手续</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lang w:val="en-US" w:eastAsia="zh-CN"/>
        </w:rPr>
        <w:t>不存在</w:t>
      </w:r>
      <w:r>
        <w:rPr>
          <w:rFonts w:hint="eastAsia" w:ascii="仿宋" w:hAnsi="仿宋" w:eastAsia="仿宋"/>
          <w:bCs/>
          <w:color w:val="auto"/>
          <w:spacing w:val="-4"/>
          <w:sz w:val="32"/>
          <w:szCs w:val="32"/>
        </w:rPr>
        <w:t>存在截留、挤占、挪用、虚列支出等情况</w:t>
      </w:r>
      <w:r>
        <w:rPr>
          <w:rFonts w:hint="eastAsia" w:ascii="仿宋" w:hAnsi="仿宋" w:eastAsia="仿宋"/>
          <w:bCs/>
          <w:color w:val="auto"/>
          <w:spacing w:val="-4"/>
          <w:sz w:val="32"/>
          <w:szCs w:val="32"/>
          <w:lang w:eastAsia="zh-CN"/>
        </w:rPr>
        <w:t>。</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该项目严格按照采购规定、程序办理政府采购手续，不存在“应当以公开招标方式采购的货物或服务化整为零，或者以其他任何方式规避公开招标”</w:t>
      </w:r>
      <w:r>
        <w:rPr>
          <w:rStyle w:val="19"/>
          <w:rFonts w:hint="eastAsia" w:ascii="仿宋" w:hAnsi="仿宋" w:eastAsia="仿宋"/>
          <w:b w:val="0"/>
          <w:color w:val="auto"/>
          <w:spacing w:val="-4"/>
          <w:sz w:val="32"/>
          <w:szCs w:val="32"/>
          <w:lang w:val="en-US" w:eastAsia="zh-CN"/>
        </w:rPr>
        <w:t>的情况，</w:t>
      </w:r>
      <w:r>
        <w:rPr>
          <w:rStyle w:val="19"/>
          <w:rFonts w:hint="eastAsia" w:ascii="仿宋" w:hAnsi="仿宋" w:eastAsia="仿宋"/>
          <w:b w:val="0"/>
          <w:color w:val="auto"/>
          <w:spacing w:val="-4"/>
          <w:sz w:val="32"/>
          <w:szCs w:val="32"/>
        </w:rPr>
        <w:t>也不存在围标、串标的行为。</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9"/>
          <w:rFonts w:hint="eastAsia" w:ascii="仿宋" w:hAnsi="仿宋" w:eastAsia="仿宋"/>
          <w:b w:val="0"/>
          <w:color w:val="auto"/>
          <w:spacing w:val="-4"/>
          <w:sz w:val="32"/>
          <w:szCs w:val="32"/>
          <w:lang w:val="en-US" w:eastAsia="zh-CN"/>
        </w:rPr>
      </w:pPr>
      <w:r>
        <w:rPr>
          <w:rStyle w:val="19"/>
          <w:rFonts w:hint="eastAsia" w:ascii="仿宋" w:hAnsi="仿宋" w:eastAsia="仿宋"/>
          <w:b w:val="0"/>
          <w:color w:val="auto"/>
          <w:spacing w:val="-4"/>
          <w:sz w:val="32"/>
          <w:szCs w:val="32"/>
        </w:rPr>
        <w:t>为保证项目质量和成本控制，项目实施完成后，由本项目相关人员于</w:t>
      </w:r>
      <w:r>
        <w:rPr>
          <w:rStyle w:val="19"/>
          <w:rFonts w:hint="eastAsia" w:ascii="仿宋" w:hAnsi="仿宋" w:eastAsia="仿宋"/>
          <w:b w:val="0"/>
          <w:color w:val="auto"/>
          <w:spacing w:val="-4"/>
          <w:sz w:val="32"/>
          <w:szCs w:val="32"/>
          <w:lang w:val="en-US" w:eastAsia="zh-CN"/>
        </w:rPr>
        <w:t>2018</w:t>
      </w:r>
      <w:r>
        <w:rPr>
          <w:rStyle w:val="19"/>
          <w:rFonts w:hint="eastAsia" w:ascii="仿宋" w:hAnsi="仿宋" w:eastAsia="仿宋"/>
          <w:b w:val="0"/>
          <w:color w:val="auto"/>
          <w:spacing w:val="-4"/>
          <w:sz w:val="32"/>
          <w:szCs w:val="32"/>
        </w:rPr>
        <w:t>年</w:t>
      </w:r>
      <w:r>
        <w:rPr>
          <w:rStyle w:val="19"/>
          <w:rFonts w:hint="eastAsia" w:ascii="仿宋" w:hAnsi="仿宋" w:eastAsia="仿宋"/>
          <w:b w:val="0"/>
          <w:color w:val="auto"/>
          <w:spacing w:val="-4"/>
          <w:sz w:val="32"/>
          <w:szCs w:val="32"/>
          <w:lang w:val="en-US" w:eastAsia="zh-CN"/>
        </w:rPr>
        <w:t>12</w:t>
      </w:r>
      <w:r>
        <w:rPr>
          <w:rStyle w:val="19"/>
          <w:rFonts w:hint="eastAsia" w:ascii="仿宋" w:hAnsi="仿宋" w:eastAsia="仿宋"/>
          <w:b w:val="0"/>
          <w:color w:val="auto"/>
          <w:spacing w:val="-4"/>
          <w:sz w:val="32"/>
          <w:szCs w:val="32"/>
        </w:rPr>
        <w:t>月</w:t>
      </w:r>
      <w:r>
        <w:rPr>
          <w:rStyle w:val="19"/>
          <w:rFonts w:hint="eastAsia" w:ascii="仿宋" w:hAnsi="仿宋" w:eastAsia="仿宋"/>
          <w:b w:val="0"/>
          <w:color w:val="auto"/>
          <w:spacing w:val="-4"/>
          <w:sz w:val="32"/>
          <w:szCs w:val="32"/>
          <w:lang w:val="en-US" w:eastAsia="zh-CN"/>
        </w:rPr>
        <w:t>30</w:t>
      </w:r>
      <w:r>
        <w:rPr>
          <w:rStyle w:val="19"/>
          <w:rFonts w:hint="eastAsia" w:ascii="仿宋" w:hAnsi="仿宋" w:eastAsia="仿宋"/>
          <w:b w:val="0"/>
          <w:color w:val="auto"/>
          <w:spacing w:val="-4"/>
          <w:sz w:val="32"/>
          <w:szCs w:val="32"/>
        </w:rPr>
        <w:t>日完成检查验收，检查验收合格后按合同规定支付款项。</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Style w:val="19"/>
          <w:rFonts w:ascii="仿宋" w:hAnsi="仿宋" w:eastAsia="仿宋"/>
          <w:b w:val="0"/>
          <w:color w:val="FF0000"/>
          <w:spacing w:val="-4"/>
          <w:sz w:val="32"/>
          <w:szCs w:val="32"/>
        </w:rPr>
      </w:pPr>
      <w:r>
        <w:rPr>
          <w:rFonts w:hint="eastAsia" w:ascii="仿宋" w:hAnsi="仿宋" w:eastAsia="仿宋"/>
          <w:bCs/>
          <w:color w:val="auto"/>
          <w:spacing w:val="-4"/>
          <w:sz w:val="32"/>
          <w:szCs w:val="32"/>
        </w:rPr>
        <w:t>项目的实施遵守相关法律法规和业务管理规定，项目资料齐全并及时归档。</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w:t>
      </w:r>
      <w:bookmarkStart w:id="0" w:name="_GoBack"/>
      <w:bookmarkEnd w:id="0"/>
      <w:r>
        <w:rPr>
          <w:rFonts w:hint="eastAsia" w:ascii="楷体" w:hAnsi="楷体" w:eastAsia="楷体"/>
          <w:b/>
          <w:spacing w:val="-4"/>
          <w:sz w:val="32"/>
          <w:szCs w:val="32"/>
        </w:rPr>
        <w:t>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三</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七</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十七</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十六</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效率性：当年开工率</w:t>
      </w:r>
      <w:r>
        <w:rPr>
          <w:rStyle w:val="19"/>
          <w:rFonts w:hint="eastAsia" w:ascii="仿宋" w:hAnsi="仿宋" w:eastAsia="仿宋"/>
          <w:b w:val="0"/>
          <w:color w:val="auto"/>
          <w:spacing w:val="-4"/>
          <w:sz w:val="32"/>
          <w:szCs w:val="32"/>
          <w:lang w:val="en-US" w:eastAsia="zh-CN"/>
        </w:rPr>
        <w:t>100%，当年完成率100%</w:t>
      </w:r>
      <w:r>
        <w:rPr>
          <w:rStyle w:val="19"/>
          <w:rFonts w:hint="eastAsia" w:ascii="仿宋" w:hAnsi="仿宋" w:eastAsia="仿宋"/>
          <w:b w:val="0"/>
          <w:color w:val="auto"/>
          <w:spacing w:val="-4"/>
          <w:sz w:val="32"/>
          <w:szCs w:val="32"/>
        </w:rPr>
        <w:t>。</w:t>
      </w:r>
    </w:p>
    <w:p>
      <w:pPr>
        <w:adjustRightInd w:val="0"/>
        <w:snapToGrid w:val="0"/>
        <w:spacing w:line="560" w:lineRule="exact"/>
        <w:ind w:firstLine="624" w:firstLineChars="200"/>
        <w:outlineLvl w:val="0"/>
        <w:rPr>
          <w:rStyle w:val="19"/>
          <w:rFonts w:hint="eastAsia" w:ascii="仿宋" w:hAnsi="仿宋" w:eastAsia="仿宋"/>
          <w:b w:val="0"/>
          <w:color w:val="auto"/>
          <w:spacing w:val="-4"/>
          <w:sz w:val="32"/>
          <w:szCs w:val="32"/>
        </w:rPr>
      </w:pPr>
      <w:r>
        <w:rPr>
          <w:rStyle w:val="19"/>
          <w:rFonts w:hint="eastAsia" w:ascii="仿宋" w:hAnsi="仿宋" w:eastAsia="仿宋"/>
          <w:b w:val="0"/>
          <w:color w:val="auto"/>
          <w:spacing w:val="-4"/>
          <w:sz w:val="32"/>
          <w:szCs w:val="32"/>
        </w:rPr>
        <w:t>效益性：</w:t>
      </w:r>
      <w:r>
        <w:rPr>
          <w:rStyle w:val="19"/>
          <w:rFonts w:hint="eastAsia" w:ascii="仿宋" w:hAnsi="仿宋" w:eastAsia="仿宋"/>
          <w:b w:val="0"/>
          <w:color w:val="auto"/>
          <w:spacing w:val="-4"/>
          <w:sz w:val="32"/>
          <w:szCs w:val="32"/>
          <w:lang w:val="en-US" w:eastAsia="zh-CN"/>
        </w:rPr>
        <w:t>全县</w:t>
      </w:r>
      <w:r>
        <w:rPr>
          <w:rStyle w:val="19"/>
          <w:rFonts w:hint="eastAsia" w:ascii="仿宋" w:hAnsi="仿宋" w:eastAsia="仿宋"/>
          <w:b w:val="0"/>
          <w:color w:val="auto"/>
          <w:spacing w:val="-4"/>
          <w:sz w:val="32"/>
          <w:szCs w:val="32"/>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进一步做好重点生态功能区县域生态环境质量考核工作，及时掌握自然环境质量状况和生态环境质量状况，将数据按季度上传国家。</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_GB2312" w:hAnsi="仿宋_GB2312" w:eastAsia="仿宋_GB2312" w:cs="仿宋_GB2312"/>
          <w:kern w:val="2"/>
          <w:sz w:val="32"/>
          <w:szCs w:val="32"/>
        </w:rPr>
      </w:pPr>
      <w:r>
        <w:rPr>
          <w:rFonts w:hint="eastAsia" w:ascii="仿宋" w:hAnsi="仿宋" w:eastAsia="仿宋"/>
          <w:bCs/>
          <w:spacing w:val="-4"/>
          <w:sz w:val="32"/>
          <w:szCs w:val="32"/>
        </w:rPr>
        <w:t>1、</w:t>
      </w:r>
      <w:r>
        <w:rPr>
          <w:rFonts w:hint="eastAsia" w:ascii="楷体_GB2312" w:hAnsi="楷体_GB2312" w:eastAsia="楷体_GB2312" w:cs="楷体_GB2312"/>
          <w:kern w:val="2"/>
          <w:sz w:val="32"/>
          <w:szCs w:val="32"/>
          <w:lang w:val="en-US" w:eastAsia="zh-CN"/>
        </w:rPr>
        <w:t>实施过程中好的经验总结</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_GB2312" w:hAnsi="仿宋_GB2312" w:eastAsia="仿宋_GB2312" w:cs="仿宋_GB2312"/>
          <w:color w:val="FF0000"/>
          <w:kern w:val="2"/>
          <w:sz w:val="32"/>
          <w:szCs w:val="32"/>
          <w:lang w:eastAsia="zh-CN"/>
        </w:rPr>
      </w:pPr>
      <w:r>
        <w:rPr>
          <w:rFonts w:hint="eastAsia" w:ascii="仿宋" w:hAnsi="仿宋" w:eastAsia="仿宋"/>
          <w:bCs/>
          <w:color w:val="auto"/>
          <w:spacing w:val="-4"/>
          <w:sz w:val="32"/>
          <w:szCs w:val="32"/>
          <w:lang w:val="en-US" w:eastAsia="zh-CN"/>
        </w:rPr>
        <w:t>严格采购、审批及资金拨付程序。整个过程严格按照采购规定、程序办理政府采购手续，坚决杜绝“应当以公开招标方式采购的货物或服务化整为零，或者以其他任何方式规避公开招标”的情况，以及围标、串标的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kern w:val="2"/>
          <w:sz w:val="32"/>
          <w:szCs w:val="32"/>
          <w:lang w:val="en-US" w:eastAsia="zh-CN"/>
        </w:rPr>
      </w:pPr>
      <w:r>
        <w:rPr>
          <w:rFonts w:hint="eastAsia" w:ascii="楷体_GB2312" w:hAnsi="楷体_GB2312" w:eastAsia="楷体_GB2312" w:cs="楷体_GB2312"/>
          <w:kern w:val="2"/>
          <w:sz w:val="32"/>
          <w:szCs w:val="32"/>
          <w:lang w:val="en-US" w:eastAsia="zh-CN"/>
        </w:rPr>
        <w:t>2、项目实施过程中存在的问题及原因分析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_GB2312" w:hAnsi="仿宋_GB2312" w:eastAsia="仿宋_GB2312" w:cs="仿宋_GB2312"/>
          <w:i w:val="0"/>
          <w:iCs w:val="0"/>
          <w:color w:val="auto"/>
          <w:kern w:val="2"/>
          <w:sz w:val="32"/>
          <w:szCs w:val="32"/>
          <w:lang w:val="en-US" w:eastAsia="zh-CN"/>
        </w:rPr>
        <w:t>对监测数据分析还不够，主要原因是人员技术水平和设备严重不足。</w:t>
      </w:r>
      <w:r>
        <w:rPr>
          <w:rFonts w:hint="eastAsia" w:ascii="仿宋" w:hAnsi="仿宋" w:eastAsia="仿宋"/>
          <w:bCs/>
          <w:color w:val="auto"/>
          <w:spacing w:val="-4"/>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2"/>
          <w:sz w:val="32"/>
          <w:szCs w:val="32"/>
          <w:lang w:val="en-US" w:eastAsia="zh-CN"/>
        </w:rPr>
      </w:pPr>
      <w:r>
        <w:rPr>
          <w:rFonts w:hint="eastAsia" w:ascii="楷体_GB2312" w:hAnsi="楷体_GB2312" w:eastAsia="楷体_GB2312" w:cs="楷体_GB2312"/>
          <w:color w:val="auto"/>
          <w:kern w:val="2"/>
          <w:sz w:val="32"/>
          <w:szCs w:val="32"/>
          <w:lang w:val="en-US" w:eastAsia="zh-CN"/>
        </w:rPr>
        <w:t>3、对下一年度项目实施的改进意见或措施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_GB2312" w:hAnsi="仿宋_GB2312" w:eastAsia="仿宋_GB2312" w:cs="仿宋_GB2312"/>
          <w:i w:val="0"/>
          <w:iCs w:val="0"/>
          <w:color w:val="auto"/>
          <w:kern w:val="2"/>
          <w:sz w:val="32"/>
          <w:szCs w:val="32"/>
          <w:lang w:val="en-US" w:eastAsia="zh-CN"/>
        </w:rPr>
        <w:t>加强人员业务培训，通过集中学习和自学进一步提升干部队伍业务水平。</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color w:val="auto"/>
          <w:spacing w:val="-4"/>
          <w:sz w:val="32"/>
          <w:szCs w:val="32"/>
        </w:rPr>
        <w:t>项目管理过程规范，完成了预期绩效目标。同时，通过开展自我评价来总结经验和教训，为</w:t>
      </w:r>
      <w:r>
        <w:rPr>
          <w:rFonts w:hint="eastAsia" w:ascii="仿宋" w:hAnsi="仿宋" w:eastAsia="仿宋"/>
          <w:color w:val="auto"/>
          <w:spacing w:val="-4"/>
          <w:sz w:val="32"/>
          <w:szCs w:val="32"/>
          <w:lang w:val="en-US" w:eastAsia="zh-CN"/>
        </w:rPr>
        <w:t>英吉沙县重点生态功能区环境监测</w:t>
      </w:r>
      <w:r>
        <w:rPr>
          <w:rFonts w:hint="eastAsia" w:ascii="仿宋" w:hAnsi="仿宋" w:eastAsia="仿宋"/>
          <w:color w:val="auto"/>
          <w:spacing w:val="-4"/>
          <w:sz w:val="32"/>
          <w:szCs w:val="32"/>
        </w:rPr>
        <w:t>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color w:val="FF0000"/>
          <w:spacing w:val="-4"/>
          <w:sz w:val="32"/>
          <w:szCs w:val="32"/>
        </w:rPr>
        <w:sectPr>
          <w:footerReference r:id="rId3" w:type="default"/>
          <w:pgSz w:w="11906" w:h="16838"/>
          <w:pgMar w:top="1440" w:right="1800" w:bottom="1440" w:left="1800" w:header="851" w:footer="992" w:gutter="0"/>
          <w:cols w:space="425" w:num="1"/>
          <w:docGrid w:type="lines" w:linePitch="312" w:charSpace="0"/>
        </w:sectPr>
      </w:pPr>
      <w:r>
        <w:rPr>
          <w:rStyle w:val="19"/>
          <w:rFonts w:hint="eastAsia" w:ascii="仿宋" w:hAnsi="仿宋" w:eastAsia="仿宋"/>
          <w:color w:val="FF0000"/>
          <w:spacing w:val="-4"/>
          <w:sz w:val="32"/>
          <w:szCs w:val="32"/>
        </w:rPr>
        <w:t>上述黑色标题不得删减，可根据项目实际情况修改红色部分。</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附表填制说明（2018年12月18日）</w:t>
      </w:r>
    </w:p>
    <w:p>
      <w:pPr>
        <w:adjustRightInd w:val="0"/>
        <w:snapToGrid w:val="0"/>
        <w:spacing w:line="560" w:lineRule="exact"/>
        <w:ind w:firstLine="640" w:firstLineChars="200"/>
        <w:rPr>
          <w:bCs/>
          <w:sz w:val="32"/>
          <w:szCs w:val="32"/>
        </w:rPr>
      </w:pPr>
      <w:r>
        <w:rPr>
          <w:rFonts w:hint="eastAsia"/>
          <w:bCs/>
          <w:sz w:val="32"/>
          <w:szCs w:val="32"/>
        </w:rPr>
        <w:t>1.项目名称填制要求必须带有“项目”字样，《新疆财政支出绩效自评报告》《部门预算项目支出绩效目标申报表》《项目支出绩效目标自评表》的项目名称须保持完全一致。</w:t>
      </w:r>
    </w:p>
    <w:p>
      <w:pPr>
        <w:adjustRightInd w:val="0"/>
        <w:snapToGrid w:val="0"/>
        <w:spacing w:line="560" w:lineRule="exact"/>
        <w:ind w:firstLine="640" w:firstLineChars="200"/>
        <w:rPr>
          <w:bCs/>
          <w:sz w:val="32"/>
          <w:szCs w:val="32"/>
        </w:rPr>
      </w:pPr>
      <w:r>
        <w:rPr>
          <w:rFonts w:hint="eastAsia"/>
          <w:bCs/>
          <w:sz w:val="32"/>
          <w:szCs w:val="32"/>
        </w:rPr>
        <w:t>2.根据《部门预算项目支出绩效目标申报表》和《项目支出绩效目标自评表》中的字体要求填写（宋体12号字），不得随意调整。</w:t>
      </w:r>
    </w:p>
    <w:p>
      <w:pPr>
        <w:adjustRightInd w:val="0"/>
        <w:snapToGrid w:val="0"/>
        <w:spacing w:line="560" w:lineRule="exact"/>
        <w:ind w:firstLine="640" w:firstLineChars="200"/>
        <w:rPr>
          <w:bCs/>
          <w:sz w:val="32"/>
          <w:szCs w:val="32"/>
        </w:rPr>
      </w:pPr>
      <w:r>
        <w:rPr>
          <w:rFonts w:hint="eastAsia"/>
          <w:bCs/>
          <w:sz w:val="32"/>
          <w:szCs w:val="32"/>
        </w:rPr>
        <w:t>3.要求打印出的表格不能存在遮盖的文字，表格填制完毕后通过打印预览查看是否存在文字遮盖的情况，如存在需调整表格行高，保证文字全部显现。</w:t>
      </w:r>
    </w:p>
    <w:p>
      <w:pPr>
        <w:adjustRightInd w:val="0"/>
        <w:snapToGrid w:val="0"/>
        <w:spacing w:line="560" w:lineRule="exact"/>
        <w:ind w:firstLine="640" w:firstLineChars="200"/>
        <w:rPr>
          <w:bCs/>
          <w:sz w:val="32"/>
          <w:szCs w:val="32"/>
        </w:rPr>
      </w:pPr>
      <w:r>
        <w:rPr>
          <w:rFonts w:hint="eastAsia"/>
          <w:bCs/>
          <w:sz w:val="32"/>
          <w:szCs w:val="32"/>
        </w:rPr>
        <w:t>4.要求填制表格中具体指标的数值全部居中，表格其他内容按格式填写，不得自行调整。</w:t>
      </w:r>
    </w:p>
    <w:p>
      <w:pPr>
        <w:adjustRightInd w:val="0"/>
        <w:snapToGrid w:val="0"/>
        <w:spacing w:line="560" w:lineRule="exact"/>
        <w:ind w:firstLine="640" w:firstLineChars="200"/>
        <w:rPr>
          <w:rFonts w:hint="eastAsia"/>
          <w:bCs/>
          <w:sz w:val="32"/>
          <w:szCs w:val="32"/>
        </w:rPr>
      </w:pPr>
      <w:r>
        <w:rPr>
          <w:rFonts w:hint="eastAsia"/>
          <w:bCs/>
          <w:sz w:val="32"/>
          <w:szCs w:val="32"/>
        </w:rPr>
        <w:t>5.三级指标名称全部左对齐。</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bCs/>
          <w:sz w:val="32"/>
          <w:szCs w:val="32"/>
        </w:rPr>
        <w:t>《部门预算项目支出绩效目标申报表》和《项目支出绩效目标自评表》</w:t>
      </w:r>
      <w:r>
        <w:rPr>
          <w:rFonts w:hint="eastAsia" w:ascii="仿宋" w:hAnsi="仿宋" w:eastAsia="仿宋"/>
          <w:sz w:val="32"/>
          <w:szCs w:val="32"/>
        </w:rPr>
        <w:t>表格格式及内容必须严格按照附件填写，不可随意删除内容，包括表格下方的经办人、单位负责人、申报时间、联系电话等。</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7.</w:t>
      </w:r>
      <w:r>
        <w:rPr>
          <w:rFonts w:hint="eastAsia"/>
          <w:bCs/>
          <w:sz w:val="32"/>
          <w:szCs w:val="32"/>
        </w:rPr>
        <w:t xml:space="preserve"> 《部门预算项目支出绩效目标申报表》中的</w:t>
      </w:r>
      <w:r>
        <w:rPr>
          <w:rFonts w:hint="eastAsia" w:ascii="仿宋" w:hAnsi="仿宋" w:eastAsia="仿宋"/>
          <w:sz w:val="32"/>
          <w:szCs w:val="32"/>
        </w:rPr>
        <w:t>总体目标和《</w:t>
      </w:r>
      <w:r>
        <w:rPr>
          <w:rFonts w:hint="eastAsia"/>
          <w:bCs/>
          <w:sz w:val="32"/>
          <w:szCs w:val="32"/>
        </w:rPr>
        <w:t>项目支出绩效目标自评表》</w:t>
      </w:r>
      <w:r>
        <w:rPr>
          <w:rFonts w:hint="eastAsia" w:ascii="仿宋" w:hAnsi="仿宋" w:eastAsia="仿宋"/>
          <w:sz w:val="32"/>
          <w:szCs w:val="32"/>
        </w:rPr>
        <w:t>中的预期目标和实际完成目标必须分项罗列，且包含所有设置的三级指标。</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8.部门预算项目支出绩效目标表与项目支出绩效目标自评表中的指标内容和排列顺序必须完全一致。</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9.设置指标值和实际完成值时，不可填列区间数，例如：办理案件数量23-25件。符号必须准确表述：&gt;、&lt;、=、≥≤。</w:t>
      </w:r>
    </w:p>
    <w:p>
      <w:pPr>
        <w:adjustRightInd w:val="0"/>
        <w:snapToGrid w:val="0"/>
        <w:spacing w:line="560" w:lineRule="exact"/>
        <w:ind w:firstLine="640" w:firstLineChars="200"/>
        <w:rPr>
          <w:rStyle w:val="19"/>
          <w:rFonts w:ascii="仿宋" w:hAnsi="仿宋" w:eastAsia="仿宋"/>
          <w:spacing w:val="-4"/>
          <w:sz w:val="32"/>
          <w:szCs w:val="32"/>
        </w:rPr>
      </w:pPr>
      <w:r>
        <w:rPr>
          <w:rFonts w:hint="eastAsia" w:ascii="仿宋" w:hAnsi="仿宋" w:eastAsia="仿宋"/>
          <w:sz w:val="32"/>
          <w:szCs w:val="32"/>
        </w:rPr>
        <w:t>10. 部门预算项目支出绩效目标表的申报时间统一为2017年12月10日-2017年12月30日，项目支出绩效目标自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6D62F72"/>
    <w:rsid w:val="0A5E51D5"/>
    <w:rsid w:val="1023329A"/>
    <w:rsid w:val="22786278"/>
    <w:rsid w:val="23183B4D"/>
    <w:rsid w:val="30A2204B"/>
    <w:rsid w:val="32531533"/>
    <w:rsid w:val="339C2084"/>
    <w:rsid w:val="5F743EA2"/>
    <w:rsid w:val="5FB72952"/>
    <w:rsid w:val="5FD515BB"/>
    <w:rsid w:val="75B971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uiPriority w:val="9"/>
    <w:rPr>
      <w:i/>
      <w:iCs/>
      <w:sz w:val="24"/>
      <w:szCs w:val="24"/>
    </w:rPr>
  </w:style>
  <w:style w:type="character" w:customStyle="1" w:styleId="29">
    <w:name w:val="标题 9 Char"/>
    <w:basedOn w:val="18"/>
    <w:link w:val="10"/>
    <w:semiHidden/>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1</TotalTime>
  <ScaleCrop>false</ScaleCrop>
  <LinksUpToDate>false</LinksUpToDate>
  <CharactersWithSpaces>2449</CharactersWithSpaces>
  <Application>WPS Office_11.1.0.8412_F1E327BC-269C-435d-A152-05C5408002CA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yinyq</cp:lastModifiedBy>
  <cp:lastPrinted>2018-12-17T10:15:00Z</cp:lastPrinted>
  <dcterms:modified xsi:type="dcterms:W3CDTF">2019-01-30T09:24:59Z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